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FF" w:rsidRPr="004E7047" w:rsidRDefault="00AB01FF" w:rsidP="0009251A">
      <w:pPr>
        <w:pStyle w:val="statymopavad"/>
        <w:rPr>
          <w:rFonts w:ascii="Arial" w:hAnsi="Arial" w:cs="Arial"/>
          <w:bCs/>
          <w:sz w:val="22"/>
          <w:szCs w:val="22"/>
        </w:rPr>
      </w:pPr>
      <w:bookmarkStart w:id="0" w:name="straipsnis118"/>
      <w:r w:rsidRPr="004E7047">
        <w:rPr>
          <w:rFonts w:ascii="Arial" w:hAnsi="Arial" w:cs="Arial"/>
          <w:bCs/>
          <w:sz w:val="22"/>
          <w:szCs w:val="22"/>
        </w:rPr>
        <w:t>Lietuvos Respublikos Seim</w:t>
      </w:r>
      <w:r w:rsidR="00637004">
        <w:rPr>
          <w:rFonts w:ascii="Arial" w:hAnsi="Arial" w:cs="Arial"/>
          <w:bCs/>
          <w:sz w:val="22"/>
          <w:szCs w:val="22"/>
        </w:rPr>
        <w:t>o Pirmininkei</w:t>
      </w:r>
      <w:r w:rsidRPr="004E7047">
        <w:rPr>
          <w:rFonts w:ascii="Arial" w:hAnsi="Arial" w:cs="Arial"/>
          <w:bCs/>
          <w:sz w:val="22"/>
          <w:szCs w:val="22"/>
        </w:rPr>
        <w:tab/>
      </w:r>
      <w:r w:rsidRPr="004E7047">
        <w:rPr>
          <w:rFonts w:ascii="Arial" w:hAnsi="Arial" w:cs="Arial"/>
          <w:bCs/>
          <w:sz w:val="22"/>
          <w:szCs w:val="22"/>
        </w:rPr>
        <w:tab/>
      </w:r>
      <w:r w:rsidRPr="004E7047">
        <w:rPr>
          <w:rFonts w:ascii="Arial" w:hAnsi="Arial" w:cs="Arial"/>
          <w:bCs/>
          <w:sz w:val="22"/>
          <w:szCs w:val="22"/>
        </w:rPr>
        <w:tab/>
      </w:r>
      <w:r w:rsidR="00637004">
        <w:rPr>
          <w:rFonts w:ascii="Arial" w:hAnsi="Arial" w:cs="Arial"/>
          <w:bCs/>
          <w:sz w:val="22"/>
          <w:szCs w:val="22"/>
        </w:rPr>
        <w:t xml:space="preserve">          </w:t>
      </w:r>
      <w:r w:rsidRPr="004E7047">
        <w:rPr>
          <w:rFonts w:ascii="Arial" w:hAnsi="Arial" w:cs="Arial"/>
          <w:bCs/>
          <w:sz w:val="22"/>
          <w:szCs w:val="22"/>
        </w:rPr>
        <w:t xml:space="preserve">2015 m. </w:t>
      </w:r>
      <w:r w:rsidR="00637004">
        <w:rPr>
          <w:rFonts w:ascii="Arial" w:hAnsi="Arial" w:cs="Arial"/>
          <w:bCs/>
          <w:sz w:val="22"/>
          <w:szCs w:val="22"/>
        </w:rPr>
        <w:t>gegužės</w:t>
      </w:r>
      <w:r w:rsidRPr="004E7047">
        <w:rPr>
          <w:rFonts w:ascii="Arial" w:hAnsi="Arial" w:cs="Arial"/>
          <w:bCs/>
          <w:sz w:val="22"/>
          <w:szCs w:val="22"/>
        </w:rPr>
        <w:t xml:space="preserve"> </w:t>
      </w:r>
      <w:r w:rsidR="00637004">
        <w:rPr>
          <w:rFonts w:ascii="Arial" w:hAnsi="Arial" w:cs="Arial"/>
          <w:bCs/>
          <w:sz w:val="22"/>
          <w:szCs w:val="22"/>
          <w:lang w:val="en-US"/>
        </w:rPr>
        <w:t>1</w:t>
      </w:r>
      <w:r w:rsidRPr="004E7047">
        <w:rPr>
          <w:rFonts w:ascii="Arial" w:hAnsi="Arial" w:cs="Arial"/>
          <w:bCs/>
          <w:sz w:val="22"/>
          <w:szCs w:val="22"/>
        </w:rPr>
        <w:t>4</w:t>
      </w:r>
      <w:r w:rsidRPr="004E7047">
        <w:rPr>
          <w:rFonts w:ascii="Arial" w:hAnsi="Arial" w:cs="Arial"/>
          <w:bCs/>
          <w:sz w:val="22"/>
          <w:szCs w:val="22"/>
          <w:lang w:val="en-US"/>
        </w:rPr>
        <w:t xml:space="preserve"> d. Vilnius</w:t>
      </w:r>
    </w:p>
    <w:p w:rsidR="00AB01FF" w:rsidRDefault="00637004" w:rsidP="00637004">
      <w:pPr>
        <w:pStyle w:val="statymopavad"/>
        <w:rPr>
          <w:rFonts w:ascii="Arial" w:hAnsi="Arial" w:cs="Arial"/>
          <w:bCs/>
          <w:sz w:val="22"/>
          <w:szCs w:val="22"/>
        </w:rPr>
      </w:pPr>
      <w:r>
        <w:rPr>
          <w:rFonts w:ascii="Arial" w:hAnsi="Arial" w:cs="Arial"/>
          <w:bCs/>
          <w:sz w:val="22"/>
          <w:szCs w:val="22"/>
        </w:rPr>
        <w:t>p. Loretai Graužinienei</w:t>
      </w:r>
    </w:p>
    <w:p w:rsidR="00323BDB" w:rsidRPr="004E7047" w:rsidRDefault="00323BDB" w:rsidP="00637004">
      <w:pPr>
        <w:pStyle w:val="statymopavad"/>
        <w:rPr>
          <w:rFonts w:ascii="Arial" w:hAnsi="Arial" w:cs="Arial"/>
          <w:bCs/>
          <w:sz w:val="22"/>
          <w:szCs w:val="22"/>
        </w:rPr>
      </w:pPr>
      <w:r>
        <w:rPr>
          <w:rFonts w:ascii="Arial" w:hAnsi="Arial" w:cs="Arial"/>
          <w:bCs/>
          <w:sz w:val="22"/>
          <w:szCs w:val="22"/>
        </w:rPr>
        <w:t>ir</w:t>
      </w:r>
    </w:p>
    <w:p w:rsidR="00AB01FF" w:rsidRPr="004E7047" w:rsidRDefault="00AB01FF" w:rsidP="0009251A">
      <w:pPr>
        <w:pStyle w:val="statymopavad"/>
        <w:rPr>
          <w:rFonts w:ascii="Arial" w:hAnsi="Arial" w:cs="Arial"/>
          <w:bCs/>
          <w:sz w:val="22"/>
          <w:szCs w:val="22"/>
        </w:rPr>
      </w:pPr>
      <w:r w:rsidRPr="004E7047">
        <w:rPr>
          <w:rFonts w:ascii="Arial" w:hAnsi="Arial" w:cs="Arial"/>
          <w:bCs/>
          <w:sz w:val="22"/>
          <w:szCs w:val="22"/>
        </w:rPr>
        <w:t>Lietuvos banko valdybai</w:t>
      </w:r>
    </w:p>
    <w:p w:rsidR="00AB01FF" w:rsidRPr="004E7047" w:rsidRDefault="00AB01FF" w:rsidP="0009251A">
      <w:pPr>
        <w:pStyle w:val="statymopavad"/>
        <w:rPr>
          <w:rFonts w:ascii="Arial" w:hAnsi="Arial" w:cs="Arial"/>
          <w:bCs/>
          <w:sz w:val="22"/>
          <w:szCs w:val="22"/>
        </w:rPr>
      </w:pPr>
    </w:p>
    <w:p w:rsidR="0000292D" w:rsidRDefault="00AB01FF" w:rsidP="00AB01FF">
      <w:pPr>
        <w:ind w:right="-279"/>
        <w:jc w:val="both"/>
        <w:rPr>
          <w:rFonts w:ascii="Arial" w:hAnsi="Arial" w:cs="Arial"/>
          <w:bCs/>
          <w:lang w:val="lt-LT"/>
        </w:rPr>
      </w:pPr>
      <w:r w:rsidRPr="004E7047">
        <w:rPr>
          <w:rFonts w:ascii="Arial" w:hAnsi="Arial" w:cs="Arial"/>
          <w:bCs/>
          <w:lang w:val="lt-LT"/>
        </w:rPr>
        <w:t xml:space="preserve">DĖL </w:t>
      </w:r>
      <w:r w:rsidR="009750F5">
        <w:rPr>
          <w:rFonts w:ascii="Arial" w:hAnsi="Arial" w:cs="Arial"/>
          <w:bCs/>
          <w:lang w:val="lt-LT"/>
        </w:rPr>
        <w:t>IŠIMTŲ IŠ APYVARTOS LITŲ IR CENTŲ NENAIKINIMO</w:t>
      </w:r>
    </w:p>
    <w:p w:rsidR="009750F5" w:rsidRDefault="009750F5" w:rsidP="009521DE">
      <w:pPr>
        <w:ind w:right="-279"/>
        <w:jc w:val="both"/>
        <w:rPr>
          <w:rFonts w:ascii="Arial" w:hAnsi="Arial" w:cs="Arial"/>
          <w:bCs/>
          <w:lang w:val="lt-LT"/>
        </w:rPr>
      </w:pPr>
      <w:r>
        <w:rPr>
          <w:rFonts w:ascii="Arial" w:hAnsi="Arial" w:cs="Arial"/>
          <w:bCs/>
          <w:lang w:val="lt-LT"/>
        </w:rPr>
        <w:t>Lietuvos bankas, remdamasis 2014</w:t>
      </w:r>
      <w:r w:rsidRPr="009750F5">
        <w:rPr>
          <w:rFonts w:ascii="Arial" w:hAnsi="Arial" w:cs="Arial"/>
          <w:bCs/>
          <w:lang w:val="lt-LT"/>
        </w:rPr>
        <w:t>-</w:t>
      </w:r>
      <w:r>
        <w:rPr>
          <w:rFonts w:ascii="Arial" w:hAnsi="Arial" w:cs="Arial"/>
          <w:bCs/>
          <w:lang w:val="lt-LT"/>
        </w:rPr>
        <w:t>07-23 d. įsigaliojusi</w:t>
      </w:r>
      <w:r w:rsidR="00B705DE">
        <w:rPr>
          <w:rFonts w:ascii="Arial" w:hAnsi="Arial" w:cs="Arial"/>
          <w:bCs/>
          <w:lang w:val="lt-LT"/>
        </w:rPr>
        <w:t>o</w:t>
      </w:r>
      <w:r>
        <w:rPr>
          <w:rFonts w:ascii="Arial" w:hAnsi="Arial" w:cs="Arial"/>
          <w:bCs/>
          <w:lang w:val="lt-LT"/>
        </w:rPr>
        <w:t xml:space="preserve"> LR euro įvedimo Lietuvos Respublikoje įstatymo </w:t>
      </w:r>
      <w:r w:rsidRPr="009750F5">
        <w:rPr>
          <w:rFonts w:ascii="Arial" w:hAnsi="Arial" w:cs="Arial"/>
          <w:bCs/>
          <w:lang w:val="lt-LT"/>
        </w:rPr>
        <w:t>6 straipsnio 2 dalimi</w:t>
      </w:r>
      <w:r w:rsidR="00B705DE">
        <w:rPr>
          <w:rFonts w:ascii="Arial" w:hAnsi="Arial" w:cs="Arial"/>
          <w:bCs/>
          <w:lang w:val="lt-LT"/>
        </w:rPr>
        <w:t xml:space="preserve"> ir</w:t>
      </w:r>
      <w:r w:rsidRPr="009750F5">
        <w:rPr>
          <w:rFonts w:ascii="Arial" w:hAnsi="Arial" w:cs="Arial"/>
          <w:bCs/>
          <w:lang w:val="lt-LT"/>
        </w:rPr>
        <w:t xml:space="preserve"> 2014-08-05 Lietuvos banko valdybos n</w:t>
      </w:r>
      <w:r>
        <w:rPr>
          <w:rFonts w:ascii="Arial" w:hAnsi="Arial" w:cs="Arial"/>
          <w:bCs/>
          <w:lang w:val="lt-LT"/>
        </w:rPr>
        <w:t xml:space="preserve">utarimu Nr.03-137 „Dėl litų banknotų ir litų bei centų monetų naikinimo“, nuo </w:t>
      </w:r>
      <w:r w:rsidRPr="009750F5">
        <w:rPr>
          <w:rFonts w:ascii="Arial" w:hAnsi="Arial" w:cs="Arial"/>
          <w:bCs/>
          <w:lang w:val="lt-LT"/>
        </w:rPr>
        <w:t xml:space="preserve">2014 m. </w:t>
      </w:r>
      <w:r>
        <w:rPr>
          <w:rFonts w:ascii="Arial" w:hAnsi="Arial" w:cs="Arial"/>
          <w:bCs/>
          <w:lang w:val="lt-LT"/>
        </w:rPr>
        <w:t xml:space="preserve">spalio mėnesio pradėjo naikinti Lietuvos Respublikos nacionalinę valiutą. Iki </w:t>
      </w:r>
      <w:r w:rsidRPr="009750F5">
        <w:rPr>
          <w:rFonts w:ascii="Arial" w:hAnsi="Arial" w:cs="Arial"/>
          <w:bCs/>
          <w:lang w:val="lt-LT"/>
        </w:rPr>
        <w:t>2015 m. baland</w:t>
      </w:r>
      <w:r>
        <w:rPr>
          <w:rFonts w:ascii="Arial" w:hAnsi="Arial" w:cs="Arial"/>
          <w:bCs/>
          <w:lang w:val="lt-LT"/>
        </w:rPr>
        <w:t xml:space="preserve">žio </w:t>
      </w:r>
      <w:r w:rsidRPr="009750F5">
        <w:rPr>
          <w:rFonts w:ascii="Arial" w:hAnsi="Arial" w:cs="Arial"/>
          <w:bCs/>
          <w:lang w:val="lt-LT"/>
        </w:rPr>
        <w:t xml:space="preserve">1 d. jau sunaikinta 68 proc. (144 mln. </w:t>
      </w:r>
      <w:r>
        <w:rPr>
          <w:rFonts w:ascii="Arial" w:hAnsi="Arial" w:cs="Arial"/>
          <w:bCs/>
          <w:lang w:val="lt-LT"/>
        </w:rPr>
        <w:t xml:space="preserve">vnt.) išimtų iš apyvartos ir atsargų fonduose buvusių banknotų, </w:t>
      </w:r>
      <w:r w:rsidRPr="009750F5">
        <w:rPr>
          <w:rFonts w:ascii="Arial" w:hAnsi="Arial" w:cs="Arial"/>
          <w:bCs/>
          <w:lang w:val="lt-LT"/>
        </w:rPr>
        <w:t xml:space="preserve">23 proc. </w:t>
      </w:r>
      <w:r w:rsidR="00323BDB">
        <w:rPr>
          <w:rFonts w:ascii="Arial" w:hAnsi="Arial" w:cs="Arial"/>
          <w:bCs/>
          <w:lang w:val="lt-LT"/>
        </w:rPr>
        <w:t>(84 mln. vnt.) monetų.</w:t>
      </w:r>
    </w:p>
    <w:p w:rsidR="00323BDB" w:rsidRDefault="00323BDB" w:rsidP="009521DE">
      <w:pPr>
        <w:ind w:right="-279"/>
        <w:jc w:val="both"/>
        <w:rPr>
          <w:rFonts w:ascii="Arial" w:hAnsi="Arial" w:cs="Arial"/>
          <w:bCs/>
          <w:lang w:val="lt-LT"/>
        </w:rPr>
      </w:pPr>
      <w:r>
        <w:rPr>
          <w:rFonts w:ascii="Arial" w:hAnsi="Arial" w:cs="Arial"/>
          <w:bCs/>
          <w:lang w:val="lt-LT"/>
        </w:rPr>
        <w:t xml:space="preserve">Šių veiksmų nepagrįstumą Jums išdėstėme </w:t>
      </w:r>
      <w:r w:rsidRPr="00323BDB">
        <w:rPr>
          <w:rFonts w:ascii="Arial" w:hAnsi="Arial" w:cs="Arial"/>
          <w:bCs/>
          <w:lang w:val="lt-LT"/>
        </w:rPr>
        <w:t xml:space="preserve">2015 m. </w:t>
      </w:r>
      <w:r>
        <w:rPr>
          <w:rFonts w:ascii="Arial" w:hAnsi="Arial" w:cs="Arial"/>
          <w:bCs/>
          <w:lang w:val="lt-LT"/>
        </w:rPr>
        <w:t xml:space="preserve">kovo 23 d. signatarų V. Baldišio, E. Grakausko, E. Klumbio ir Z. Vaišvilos prašyme „Dėl Lietuvos dalyvavimo euro zonoje“, tačiau iki šiol negavome nei Seimo, nei Respublikos Prezidentės, nei Vyriausybės, nei Lietuvos banko  atsakymo, kuriuo šis mūsų prašymas dalyje dėl Lietuvos nacionalinės valiutos nenaikinimo būtų tenkintas ar būtų motyvuotai atsisakyta tai daryti. </w:t>
      </w:r>
    </w:p>
    <w:p w:rsidR="00323BDB" w:rsidRDefault="00EA313A" w:rsidP="009521DE">
      <w:pPr>
        <w:ind w:right="-279"/>
        <w:jc w:val="both"/>
        <w:rPr>
          <w:rFonts w:ascii="Arial" w:hAnsi="Arial" w:cs="Arial"/>
          <w:bCs/>
          <w:lang w:val="lt-LT"/>
        </w:rPr>
      </w:pPr>
      <w:r>
        <w:rPr>
          <w:rFonts w:ascii="Arial" w:hAnsi="Arial" w:cs="Arial"/>
          <w:bCs/>
          <w:lang w:val="lt-LT"/>
        </w:rPr>
        <w:t>E</w:t>
      </w:r>
      <w:r w:rsidR="00323BDB">
        <w:rPr>
          <w:rFonts w:ascii="Arial" w:hAnsi="Arial" w:cs="Arial"/>
          <w:bCs/>
          <w:lang w:val="lt-LT"/>
        </w:rPr>
        <w:t>uro zona atsidūr</w:t>
      </w:r>
      <w:r>
        <w:rPr>
          <w:rFonts w:ascii="Arial" w:hAnsi="Arial" w:cs="Arial"/>
          <w:bCs/>
          <w:lang w:val="lt-LT"/>
        </w:rPr>
        <w:t>ė</w:t>
      </w:r>
      <w:r w:rsidR="00323BDB">
        <w:rPr>
          <w:rFonts w:ascii="Arial" w:hAnsi="Arial" w:cs="Arial"/>
          <w:bCs/>
          <w:lang w:val="lt-LT"/>
        </w:rPr>
        <w:t xml:space="preserve"> labai rimtoje krizėje, </w:t>
      </w:r>
      <w:r>
        <w:rPr>
          <w:rFonts w:ascii="Arial" w:hAnsi="Arial" w:cs="Arial"/>
          <w:bCs/>
          <w:lang w:val="lt-LT"/>
        </w:rPr>
        <w:t>tai</w:t>
      </w:r>
      <w:r w:rsidR="00323BDB">
        <w:rPr>
          <w:rFonts w:ascii="Arial" w:hAnsi="Arial" w:cs="Arial"/>
          <w:bCs/>
          <w:lang w:val="lt-LT"/>
        </w:rPr>
        <w:t xml:space="preserve"> viešai patvirtino ir Europos Komisijos vadovas Ž. K. </w:t>
      </w:r>
      <w:proofErr w:type="spellStart"/>
      <w:r w:rsidR="00323BDB">
        <w:rPr>
          <w:rFonts w:ascii="Arial" w:hAnsi="Arial" w:cs="Arial"/>
          <w:bCs/>
          <w:lang w:val="lt-LT"/>
        </w:rPr>
        <w:t>Junkersas</w:t>
      </w:r>
      <w:proofErr w:type="spellEnd"/>
      <w:r w:rsidR="00323BDB">
        <w:rPr>
          <w:rFonts w:ascii="Arial" w:hAnsi="Arial" w:cs="Arial"/>
          <w:bCs/>
          <w:lang w:val="lt-LT"/>
        </w:rPr>
        <w:t>. Dėl šių priežasčių</w:t>
      </w:r>
      <w:r>
        <w:rPr>
          <w:rFonts w:ascii="Arial" w:hAnsi="Arial" w:cs="Arial"/>
          <w:bCs/>
          <w:lang w:val="lt-LT"/>
        </w:rPr>
        <w:t xml:space="preserve"> ir siekiant ginti Lietuvos Respublikos nacionalinius interesus bei užtikrinti mūsų valstybės monetarinės politikos funkcionavimą ir mūsų piliečių interesų apsaugą, </w:t>
      </w:r>
      <w:r w:rsidR="00323BDB">
        <w:rPr>
          <w:rFonts w:ascii="Arial" w:hAnsi="Arial" w:cs="Arial"/>
          <w:bCs/>
          <w:lang w:val="lt-LT"/>
        </w:rPr>
        <w:t>prašome:</w:t>
      </w:r>
    </w:p>
    <w:p w:rsidR="00323BDB" w:rsidRDefault="00323BDB" w:rsidP="00323BDB">
      <w:pPr>
        <w:pStyle w:val="ListParagraph"/>
        <w:numPr>
          <w:ilvl w:val="0"/>
          <w:numId w:val="3"/>
        </w:numPr>
        <w:ind w:right="-279"/>
        <w:jc w:val="both"/>
        <w:rPr>
          <w:rFonts w:ascii="Arial" w:hAnsi="Arial" w:cs="Arial"/>
          <w:bCs/>
          <w:lang w:val="lt-LT"/>
        </w:rPr>
      </w:pPr>
      <w:r w:rsidRPr="00323BDB">
        <w:rPr>
          <w:rFonts w:ascii="Arial" w:hAnsi="Arial" w:cs="Arial"/>
          <w:bCs/>
          <w:lang w:val="lt-LT"/>
        </w:rPr>
        <w:t>Seimo Pirminink</w:t>
      </w:r>
      <w:r>
        <w:rPr>
          <w:rFonts w:ascii="Arial" w:hAnsi="Arial" w:cs="Arial"/>
          <w:bCs/>
          <w:lang w:val="lt-LT"/>
        </w:rPr>
        <w:t>ę –</w:t>
      </w:r>
      <w:r w:rsidR="00B705DE">
        <w:rPr>
          <w:rFonts w:ascii="Arial" w:hAnsi="Arial" w:cs="Arial"/>
          <w:bCs/>
          <w:lang w:val="lt-LT"/>
        </w:rPr>
        <w:t xml:space="preserve"> </w:t>
      </w:r>
      <w:r w:rsidR="00EA313A">
        <w:rPr>
          <w:rFonts w:ascii="Arial" w:hAnsi="Arial" w:cs="Arial"/>
          <w:bCs/>
          <w:lang w:val="lt-LT"/>
        </w:rPr>
        <w:t xml:space="preserve">skubos tvarka </w:t>
      </w:r>
      <w:r>
        <w:rPr>
          <w:rFonts w:ascii="Arial" w:hAnsi="Arial" w:cs="Arial"/>
          <w:bCs/>
          <w:lang w:val="lt-LT"/>
        </w:rPr>
        <w:t xml:space="preserve">inicijuoti Seime įstatymo dėl LR euro įvedimo Lietuvos Respublikoje įstatymo </w:t>
      </w:r>
      <w:r w:rsidRPr="009750F5">
        <w:rPr>
          <w:rFonts w:ascii="Arial" w:hAnsi="Arial" w:cs="Arial"/>
          <w:bCs/>
          <w:lang w:val="lt-LT"/>
        </w:rPr>
        <w:t xml:space="preserve">6 </w:t>
      </w:r>
      <w:r>
        <w:rPr>
          <w:rFonts w:ascii="Arial" w:hAnsi="Arial" w:cs="Arial"/>
          <w:bCs/>
          <w:lang w:val="lt-LT"/>
        </w:rPr>
        <w:t xml:space="preserve">straipsnio 2 dalies pripažinimo netekusia galios. </w:t>
      </w:r>
    </w:p>
    <w:p w:rsidR="00323BDB" w:rsidRPr="00323BDB" w:rsidRDefault="00323BDB" w:rsidP="00323BDB">
      <w:pPr>
        <w:pStyle w:val="ListParagraph"/>
        <w:numPr>
          <w:ilvl w:val="0"/>
          <w:numId w:val="3"/>
        </w:numPr>
        <w:ind w:right="-279"/>
        <w:jc w:val="both"/>
        <w:rPr>
          <w:rFonts w:ascii="Arial" w:hAnsi="Arial" w:cs="Arial"/>
          <w:bCs/>
          <w:lang w:val="lt-LT"/>
        </w:rPr>
      </w:pPr>
      <w:r>
        <w:rPr>
          <w:rFonts w:ascii="Arial" w:hAnsi="Arial" w:cs="Arial"/>
          <w:bCs/>
          <w:lang w:val="lt-LT"/>
        </w:rPr>
        <w:t xml:space="preserve">Lietuvos banko valdybą – </w:t>
      </w:r>
      <w:r w:rsidR="00EA313A">
        <w:rPr>
          <w:rFonts w:ascii="Arial" w:hAnsi="Arial" w:cs="Arial"/>
          <w:bCs/>
          <w:lang w:val="lt-LT"/>
        </w:rPr>
        <w:t xml:space="preserve">skubos tvarka </w:t>
      </w:r>
      <w:r w:rsidR="00B705DE">
        <w:rPr>
          <w:rFonts w:ascii="Arial" w:hAnsi="Arial" w:cs="Arial"/>
          <w:bCs/>
          <w:lang w:val="lt-LT"/>
        </w:rPr>
        <w:t xml:space="preserve">pripažinti netekusiu galios </w:t>
      </w:r>
      <w:r w:rsidR="00B705DE" w:rsidRPr="009750F5">
        <w:rPr>
          <w:rFonts w:ascii="Arial" w:hAnsi="Arial" w:cs="Arial"/>
          <w:bCs/>
          <w:lang w:val="lt-LT"/>
        </w:rPr>
        <w:t>2014-08-05 Lietuvos banko valdybos n</w:t>
      </w:r>
      <w:r w:rsidR="00B705DE">
        <w:rPr>
          <w:rFonts w:ascii="Arial" w:hAnsi="Arial" w:cs="Arial"/>
          <w:bCs/>
          <w:lang w:val="lt-LT"/>
        </w:rPr>
        <w:t xml:space="preserve">utarimą Nr.03-137 „Dėl litų banknotų ir litų bei centų monetų naikinimo“ bei sustabdyti </w:t>
      </w:r>
      <w:r>
        <w:rPr>
          <w:rFonts w:ascii="Arial" w:hAnsi="Arial" w:cs="Arial"/>
          <w:bCs/>
          <w:lang w:val="lt-LT"/>
        </w:rPr>
        <w:t>Lietuvos nacionalinės valiutos banknotų ir monetų naikinimą.</w:t>
      </w:r>
    </w:p>
    <w:p w:rsidR="009B1621" w:rsidRPr="00637004" w:rsidRDefault="009B1621" w:rsidP="009521DE">
      <w:pPr>
        <w:ind w:right="-279"/>
        <w:jc w:val="both"/>
        <w:rPr>
          <w:rFonts w:ascii="Arial" w:hAnsi="Arial" w:cs="Arial"/>
          <w:bCs/>
          <w:lang w:val="lt-LT"/>
        </w:rPr>
      </w:pPr>
      <w:r w:rsidRPr="004E7047">
        <w:rPr>
          <w:rFonts w:ascii="Arial" w:hAnsi="Arial" w:cs="Arial"/>
          <w:bCs/>
          <w:lang w:val="lt-LT"/>
        </w:rPr>
        <w:t xml:space="preserve"> </w:t>
      </w:r>
      <w:bookmarkEnd w:id="0"/>
    </w:p>
    <w:p w:rsidR="00E31BBC" w:rsidRDefault="00D1579D" w:rsidP="009521DE">
      <w:pPr>
        <w:ind w:right="-279"/>
        <w:jc w:val="both"/>
        <w:rPr>
          <w:rFonts w:ascii="Arial" w:hAnsi="Arial" w:cs="Arial"/>
          <w:bCs/>
          <w:lang w:val="lt-LT"/>
        </w:rPr>
      </w:pPr>
      <w:r>
        <w:rPr>
          <w:rFonts w:ascii="Arial" w:hAnsi="Arial" w:cs="Arial"/>
          <w:bCs/>
          <w:lang w:val="lt-LT"/>
        </w:rPr>
        <w:t>Lietuvos Nepriklausomybės A</w:t>
      </w:r>
      <w:r w:rsidR="00E31BBC">
        <w:rPr>
          <w:rFonts w:ascii="Arial" w:hAnsi="Arial" w:cs="Arial"/>
          <w:bCs/>
          <w:lang w:val="lt-LT"/>
        </w:rPr>
        <w:t>kto signatarai:</w:t>
      </w:r>
    </w:p>
    <w:p w:rsidR="00B705DE" w:rsidRDefault="00B705DE" w:rsidP="009521DE">
      <w:pPr>
        <w:ind w:right="-279"/>
        <w:jc w:val="both"/>
        <w:rPr>
          <w:rFonts w:ascii="Arial" w:hAnsi="Arial" w:cs="Arial"/>
          <w:bCs/>
          <w:lang w:val="lt-LT"/>
        </w:rPr>
      </w:pPr>
    </w:p>
    <w:p w:rsidR="00B705DE" w:rsidRDefault="00B705DE" w:rsidP="009521DE">
      <w:pPr>
        <w:ind w:right="-279"/>
        <w:jc w:val="both"/>
        <w:rPr>
          <w:rFonts w:ascii="Arial" w:hAnsi="Arial" w:cs="Arial"/>
          <w:bCs/>
          <w:lang w:val="lt-LT"/>
        </w:rPr>
      </w:pPr>
    </w:p>
    <w:p w:rsidR="00B705DE" w:rsidRDefault="00B705DE" w:rsidP="009521DE">
      <w:pPr>
        <w:ind w:right="-279"/>
        <w:jc w:val="both"/>
        <w:rPr>
          <w:rFonts w:ascii="Arial" w:hAnsi="Arial" w:cs="Arial"/>
          <w:bCs/>
          <w:lang w:val="lt-LT"/>
        </w:rPr>
      </w:pPr>
    </w:p>
    <w:p w:rsidR="00E31BBC" w:rsidRDefault="00E31BBC" w:rsidP="009521DE">
      <w:pPr>
        <w:ind w:right="-279"/>
        <w:jc w:val="both"/>
        <w:rPr>
          <w:rFonts w:ascii="Arial" w:hAnsi="Arial" w:cs="Arial"/>
          <w:bCs/>
          <w:lang w:val="lt-LT"/>
        </w:rPr>
      </w:pPr>
      <w:r>
        <w:rPr>
          <w:rFonts w:ascii="Arial" w:hAnsi="Arial" w:cs="Arial"/>
          <w:bCs/>
          <w:lang w:val="lt-LT"/>
        </w:rPr>
        <w:t>Vilius Baldišis</w:t>
      </w:r>
      <w:r>
        <w:rPr>
          <w:rFonts w:ascii="Arial" w:hAnsi="Arial" w:cs="Arial"/>
          <w:bCs/>
          <w:lang w:val="lt-LT"/>
        </w:rPr>
        <w:tab/>
      </w:r>
      <w:r>
        <w:rPr>
          <w:rFonts w:ascii="Arial" w:hAnsi="Arial" w:cs="Arial"/>
          <w:bCs/>
          <w:lang w:val="lt-LT"/>
        </w:rPr>
        <w:tab/>
        <w:t>Eimantas Grakauskas</w:t>
      </w:r>
      <w:r>
        <w:rPr>
          <w:rFonts w:ascii="Arial" w:hAnsi="Arial" w:cs="Arial"/>
          <w:bCs/>
          <w:lang w:val="lt-LT"/>
        </w:rPr>
        <w:tab/>
      </w:r>
      <w:r>
        <w:rPr>
          <w:rFonts w:ascii="Arial" w:hAnsi="Arial" w:cs="Arial"/>
          <w:bCs/>
          <w:lang w:val="lt-LT"/>
        </w:rPr>
        <w:tab/>
        <w:t>Egidijus Klumbys</w:t>
      </w:r>
      <w:r>
        <w:rPr>
          <w:rFonts w:ascii="Arial" w:hAnsi="Arial" w:cs="Arial"/>
          <w:bCs/>
          <w:lang w:val="lt-LT"/>
        </w:rPr>
        <w:tab/>
      </w:r>
      <w:r w:rsidR="00511EC8">
        <w:rPr>
          <w:rFonts w:ascii="Arial" w:hAnsi="Arial" w:cs="Arial"/>
          <w:bCs/>
          <w:lang w:val="lt-LT"/>
        </w:rPr>
        <w:tab/>
      </w:r>
      <w:r>
        <w:rPr>
          <w:rFonts w:ascii="Arial" w:hAnsi="Arial" w:cs="Arial"/>
          <w:bCs/>
          <w:lang w:val="lt-LT"/>
        </w:rPr>
        <w:t>Zigmas Vaišvila</w:t>
      </w:r>
    </w:p>
    <w:sectPr w:rsidR="00E31BBC" w:rsidSect="00A44E5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542" w:rsidRDefault="003C6542" w:rsidP="004E11AF">
      <w:pPr>
        <w:spacing w:after="0" w:line="240" w:lineRule="auto"/>
      </w:pPr>
      <w:r>
        <w:separator/>
      </w:r>
    </w:p>
  </w:endnote>
  <w:endnote w:type="continuationSeparator" w:id="0">
    <w:p w:rsidR="003C6542" w:rsidRDefault="003C6542" w:rsidP="004E1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8B" w:rsidRDefault="0027468B">
    <w:pPr>
      <w:pStyle w:val="Footer"/>
      <w:jc w:val="right"/>
    </w:pPr>
  </w:p>
  <w:p w:rsidR="0027468B" w:rsidRDefault="00274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542" w:rsidRDefault="003C6542" w:rsidP="004E11AF">
      <w:pPr>
        <w:spacing w:after="0" w:line="240" w:lineRule="auto"/>
      </w:pPr>
      <w:r>
        <w:separator/>
      </w:r>
    </w:p>
  </w:footnote>
  <w:footnote w:type="continuationSeparator" w:id="0">
    <w:p w:rsidR="003C6542" w:rsidRDefault="003C6542" w:rsidP="004E11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EDB"/>
    <w:multiLevelType w:val="hybridMultilevel"/>
    <w:tmpl w:val="98767C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414E0E36"/>
    <w:multiLevelType w:val="hybridMultilevel"/>
    <w:tmpl w:val="B7328D76"/>
    <w:lvl w:ilvl="0" w:tplc="E6A25EA8">
      <w:start w:val="4"/>
      <w:numFmt w:val="bullet"/>
      <w:lvlText w:val="-"/>
      <w:lvlJc w:val="left"/>
      <w:pPr>
        <w:ind w:left="1080" w:hanging="360"/>
      </w:pPr>
      <w:rPr>
        <w:rFonts w:ascii="Tahoma" w:eastAsia="Calibri" w:hAnsi="Tahoma" w:cs="Tahoma"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nsid w:val="5D2173E1"/>
    <w:multiLevelType w:val="hybridMultilevel"/>
    <w:tmpl w:val="1E80824E"/>
    <w:lvl w:ilvl="0" w:tplc="0C36DE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hyphenationZone w:val="396"/>
  <w:characterSpacingControl w:val="doNotCompress"/>
  <w:footnotePr>
    <w:footnote w:id="-1"/>
    <w:footnote w:id="0"/>
  </w:footnotePr>
  <w:endnotePr>
    <w:endnote w:id="-1"/>
    <w:endnote w:id="0"/>
  </w:endnotePr>
  <w:compat/>
  <w:rsids>
    <w:rsidRoot w:val="00AB01FF"/>
    <w:rsid w:val="0000156A"/>
    <w:rsid w:val="0000292D"/>
    <w:rsid w:val="000033D9"/>
    <w:rsid w:val="00003F7F"/>
    <w:rsid w:val="00011896"/>
    <w:rsid w:val="00014A17"/>
    <w:rsid w:val="0002115D"/>
    <w:rsid w:val="00021CEF"/>
    <w:rsid w:val="000257D5"/>
    <w:rsid w:val="00026B36"/>
    <w:rsid w:val="0002790A"/>
    <w:rsid w:val="00032103"/>
    <w:rsid w:val="00036526"/>
    <w:rsid w:val="00037F45"/>
    <w:rsid w:val="0004429E"/>
    <w:rsid w:val="00044E86"/>
    <w:rsid w:val="00045850"/>
    <w:rsid w:val="00046BEB"/>
    <w:rsid w:val="00051302"/>
    <w:rsid w:val="00056FA6"/>
    <w:rsid w:val="0006248E"/>
    <w:rsid w:val="00066B29"/>
    <w:rsid w:val="00070300"/>
    <w:rsid w:val="00075324"/>
    <w:rsid w:val="00080B79"/>
    <w:rsid w:val="00087F62"/>
    <w:rsid w:val="00091458"/>
    <w:rsid w:val="000918DD"/>
    <w:rsid w:val="0009251A"/>
    <w:rsid w:val="00093BB0"/>
    <w:rsid w:val="00093C2A"/>
    <w:rsid w:val="000A4C17"/>
    <w:rsid w:val="000B2AA1"/>
    <w:rsid w:val="000B7C3E"/>
    <w:rsid w:val="000C7082"/>
    <w:rsid w:val="000C7B8E"/>
    <w:rsid w:val="000D0433"/>
    <w:rsid w:val="000D187F"/>
    <w:rsid w:val="000D4904"/>
    <w:rsid w:val="000E208A"/>
    <w:rsid w:val="000E5B95"/>
    <w:rsid w:val="000E6823"/>
    <w:rsid w:val="000F0634"/>
    <w:rsid w:val="000F2FBA"/>
    <w:rsid w:val="00100613"/>
    <w:rsid w:val="00103166"/>
    <w:rsid w:val="00103BCD"/>
    <w:rsid w:val="00104050"/>
    <w:rsid w:val="00104124"/>
    <w:rsid w:val="00104733"/>
    <w:rsid w:val="0010606B"/>
    <w:rsid w:val="001068F8"/>
    <w:rsid w:val="001105D8"/>
    <w:rsid w:val="001122F5"/>
    <w:rsid w:val="00114872"/>
    <w:rsid w:val="00116B7A"/>
    <w:rsid w:val="0012209E"/>
    <w:rsid w:val="001350B0"/>
    <w:rsid w:val="00141849"/>
    <w:rsid w:val="001437BA"/>
    <w:rsid w:val="00143D4E"/>
    <w:rsid w:val="001463B6"/>
    <w:rsid w:val="00147654"/>
    <w:rsid w:val="0015202E"/>
    <w:rsid w:val="00152F4B"/>
    <w:rsid w:val="00155185"/>
    <w:rsid w:val="00163C79"/>
    <w:rsid w:val="00164659"/>
    <w:rsid w:val="001700A5"/>
    <w:rsid w:val="0018416B"/>
    <w:rsid w:val="0018440C"/>
    <w:rsid w:val="00185B95"/>
    <w:rsid w:val="001866BD"/>
    <w:rsid w:val="0019039C"/>
    <w:rsid w:val="001919D8"/>
    <w:rsid w:val="00192680"/>
    <w:rsid w:val="001941F7"/>
    <w:rsid w:val="0019617A"/>
    <w:rsid w:val="001A17C3"/>
    <w:rsid w:val="001A3170"/>
    <w:rsid w:val="001A5B71"/>
    <w:rsid w:val="001B520D"/>
    <w:rsid w:val="001C1112"/>
    <w:rsid w:val="001C1EE3"/>
    <w:rsid w:val="001C416A"/>
    <w:rsid w:val="001C5174"/>
    <w:rsid w:val="001D5D62"/>
    <w:rsid w:val="001E0ED8"/>
    <w:rsid w:val="001E2DDE"/>
    <w:rsid w:val="001E48BE"/>
    <w:rsid w:val="001E6531"/>
    <w:rsid w:val="001F16A9"/>
    <w:rsid w:val="001F1DBD"/>
    <w:rsid w:val="001F4140"/>
    <w:rsid w:val="001F674B"/>
    <w:rsid w:val="001F78AB"/>
    <w:rsid w:val="00200B4D"/>
    <w:rsid w:val="0020335F"/>
    <w:rsid w:val="0020756E"/>
    <w:rsid w:val="002125AD"/>
    <w:rsid w:val="00213FFD"/>
    <w:rsid w:val="002169B3"/>
    <w:rsid w:val="00216DCC"/>
    <w:rsid w:val="00220C0A"/>
    <w:rsid w:val="002246A4"/>
    <w:rsid w:val="002255D0"/>
    <w:rsid w:val="002412A8"/>
    <w:rsid w:val="00241967"/>
    <w:rsid w:val="00247D13"/>
    <w:rsid w:val="002517A3"/>
    <w:rsid w:val="00251E19"/>
    <w:rsid w:val="00265927"/>
    <w:rsid w:val="00265EF8"/>
    <w:rsid w:val="00271443"/>
    <w:rsid w:val="00271F0E"/>
    <w:rsid w:val="0027274E"/>
    <w:rsid w:val="0027468B"/>
    <w:rsid w:val="00275710"/>
    <w:rsid w:val="00276FA2"/>
    <w:rsid w:val="00277BB7"/>
    <w:rsid w:val="00280661"/>
    <w:rsid w:val="00280BCB"/>
    <w:rsid w:val="002823ED"/>
    <w:rsid w:val="00282843"/>
    <w:rsid w:val="00282925"/>
    <w:rsid w:val="002A625B"/>
    <w:rsid w:val="002B211E"/>
    <w:rsid w:val="002B6514"/>
    <w:rsid w:val="002B6621"/>
    <w:rsid w:val="002B7C7C"/>
    <w:rsid w:val="002C34FF"/>
    <w:rsid w:val="002C7AEE"/>
    <w:rsid w:val="002D3262"/>
    <w:rsid w:val="002D34F8"/>
    <w:rsid w:val="002D51C8"/>
    <w:rsid w:val="002D64C7"/>
    <w:rsid w:val="002F0D6C"/>
    <w:rsid w:val="002F1F50"/>
    <w:rsid w:val="002F422E"/>
    <w:rsid w:val="00300040"/>
    <w:rsid w:val="003026F8"/>
    <w:rsid w:val="00302F4D"/>
    <w:rsid w:val="00305DFE"/>
    <w:rsid w:val="00307903"/>
    <w:rsid w:val="00315456"/>
    <w:rsid w:val="00322E65"/>
    <w:rsid w:val="00323BDB"/>
    <w:rsid w:val="0032704E"/>
    <w:rsid w:val="00335AC9"/>
    <w:rsid w:val="00335D5E"/>
    <w:rsid w:val="003360F8"/>
    <w:rsid w:val="003427A9"/>
    <w:rsid w:val="00345AB7"/>
    <w:rsid w:val="00346392"/>
    <w:rsid w:val="00346566"/>
    <w:rsid w:val="003475AA"/>
    <w:rsid w:val="00347CB8"/>
    <w:rsid w:val="00350FFC"/>
    <w:rsid w:val="003523A9"/>
    <w:rsid w:val="00354021"/>
    <w:rsid w:val="00354D46"/>
    <w:rsid w:val="0035722A"/>
    <w:rsid w:val="00360384"/>
    <w:rsid w:val="00362A54"/>
    <w:rsid w:val="00362C89"/>
    <w:rsid w:val="00363CF8"/>
    <w:rsid w:val="00366F01"/>
    <w:rsid w:val="00371EED"/>
    <w:rsid w:val="0037469A"/>
    <w:rsid w:val="003761F0"/>
    <w:rsid w:val="003774AA"/>
    <w:rsid w:val="00377D04"/>
    <w:rsid w:val="00377F62"/>
    <w:rsid w:val="00382827"/>
    <w:rsid w:val="00384798"/>
    <w:rsid w:val="003852DB"/>
    <w:rsid w:val="00385608"/>
    <w:rsid w:val="00385EE7"/>
    <w:rsid w:val="00385EF3"/>
    <w:rsid w:val="00386811"/>
    <w:rsid w:val="003A0E22"/>
    <w:rsid w:val="003A2493"/>
    <w:rsid w:val="003A5185"/>
    <w:rsid w:val="003B0274"/>
    <w:rsid w:val="003B6A23"/>
    <w:rsid w:val="003C5EDF"/>
    <w:rsid w:val="003C6542"/>
    <w:rsid w:val="003C7A9D"/>
    <w:rsid w:val="003D1D49"/>
    <w:rsid w:val="003D4DE4"/>
    <w:rsid w:val="003D6AE3"/>
    <w:rsid w:val="003D7607"/>
    <w:rsid w:val="003D7CEC"/>
    <w:rsid w:val="003E20FC"/>
    <w:rsid w:val="003E3527"/>
    <w:rsid w:val="003E35DC"/>
    <w:rsid w:val="003E4D9C"/>
    <w:rsid w:val="00400690"/>
    <w:rsid w:val="0040137C"/>
    <w:rsid w:val="004029D4"/>
    <w:rsid w:val="00407F08"/>
    <w:rsid w:val="00412DA8"/>
    <w:rsid w:val="00422215"/>
    <w:rsid w:val="004256E2"/>
    <w:rsid w:val="004279F3"/>
    <w:rsid w:val="00440E7A"/>
    <w:rsid w:val="00442A06"/>
    <w:rsid w:val="00452A91"/>
    <w:rsid w:val="00460A04"/>
    <w:rsid w:val="00471CF7"/>
    <w:rsid w:val="0047270D"/>
    <w:rsid w:val="004728D1"/>
    <w:rsid w:val="004809CB"/>
    <w:rsid w:val="00486F19"/>
    <w:rsid w:val="00493DC4"/>
    <w:rsid w:val="004A1E82"/>
    <w:rsid w:val="004A537F"/>
    <w:rsid w:val="004A5391"/>
    <w:rsid w:val="004B0352"/>
    <w:rsid w:val="004B381E"/>
    <w:rsid w:val="004B72AA"/>
    <w:rsid w:val="004B72B5"/>
    <w:rsid w:val="004C3D3C"/>
    <w:rsid w:val="004D3682"/>
    <w:rsid w:val="004D3C52"/>
    <w:rsid w:val="004D3E54"/>
    <w:rsid w:val="004D7C37"/>
    <w:rsid w:val="004E11AF"/>
    <w:rsid w:val="004E3AA4"/>
    <w:rsid w:val="004E5F5D"/>
    <w:rsid w:val="004E7047"/>
    <w:rsid w:val="004E7289"/>
    <w:rsid w:val="004E7324"/>
    <w:rsid w:val="004E7D3C"/>
    <w:rsid w:val="004F325F"/>
    <w:rsid w:val="005017D8"/>
    <w:rsid w:val="005040B3"/>
    <w:rsid w:val="00504843"/>
    <w:rsid w:val="0050487E"/>
    <w:rsid w:val="005075FE"/>
    <w:rsid w:val="00511EC8"/>
    <w:rsid w:val="00514F95"/>
    <w:rsid w:val="005155F9"/>
    <w:rsid w:val="00522C9B"/>
    <w:rsid w:val="005244EA"/>
    <w:rsid w:val="005261B6"/>
    <w:rsid w:val="00527E2A"/>
    <w:rsid w:val="0053120C"/>
    <w:rsid w:val="00532A76"/>
    <w:rsid w:val="00533D8F"/>
    <w:rsid w:val="005362D8"/>
    <w:rsid w:val="00540A3A"/>
    <w:rsid w:val="00546596"/>
    <w:rsid w:val="005511A4"/>
    <w:rsid w:val="00562F6D"/>
    <w:rsid w:val="005677A2"/>
    <w:rsid w:val="00571DFA"/>
    <w:rsid w:val="00574861"/>
    <w:rsid w:val="0058334D"/>
    <w:rsid w:val="005837E6"/>
    <w:rsid w:val="00586A93"/>
    <w:rsid w:val="00590393"/>
    <w:rsid w:val="0059081F"/>
    <w:rsid w:val="005B1422"/>
    <w:rsid w:val="005B2AA1"/>
    <w:rsid w:val="005B31C9"/>
    <w:rsid w:val="005C1A42"/>
    <w:rsid w:val="005C1F51"/>
    <w:rsid w:val="005C22DA"/>
    <w:rsid w:val="005C6F15"/>
    <w:rsid w:val="005C7447"/>
    <w:rsid w:val="005C7578"/>
    <w:rsid w:val="005D1224"/>
    <w:rsid w:val="005D62ED"/>
    <w:rsid w:val="005D639D"/>
    <w:rsid w:val="005E2AF1"/>
    <w:rsid w:val="005E3EC2"/>
    <w:rsid w:val="005E40F3"/>
    <w:rsid w:val="005E6977"/>
    <w:rsid w:val="005F1756"/>
    <w:rsid w:val="005F32F3"/>
    <w:rsid w:val="005F4798"/>
    <w:rsid w:val="005F54D8"/>
    <w:rsid w:val="00601C54"/>
    <w:rsid w:val="006037E7"/>
    <w:rsid w:val="00605D54"/>
    <w:rsid w:val="00612C3E"/>
    <w:rsid w:val="006156EA"/>
    <w:rsid w:val="00615909"/>
    <w:rsid w:val="0061724C"/>
    <w:rsid w:val="006215CC"/>
    <w:rsid w:val="00626D0E"/>
    <w:rsid w:val="00635043"/>
    <w:rsid w:val="00637004"/>
    <w:rsid w:val="0063722F"/>
    <w:rsid w:val="0064177C"/>
    <w:rsid w:val="00641EAD"/>
    <w:rsid w:val="00642970"/>
    <w:rsid w:val="00643E2C"/>
    <w:rsid w:val="006465C8"/>
    <w:rsid w:val="0065357A"/>
    <w:rsid w:val="00655E9A"/>
    <w:rsid w:val="00656644"/>
    <w:rsid w:val="006607CF"/>
    <w:rsid w:val="00660C8F"/>
    <w:rsid w:val="00661351"/>
    <w:rsid w:val="00661367"/>
    <w:rsid w:val="006637FD"/>
    <w:rsid w:val="006669B4"/>
    <w:rsid w:val="00684482"/>
    <w:rsid w:val="006869EE"/>
    <w:rsid w:val="00695D0B"/>
    <w:rsid w:val="006A5D5D"/>
    <w:rsid w:val="006B3DBC"/>
    <w:rsid w:val="006B5670"/>
    <w:rsid w:val="006B66EC"/>
    <w:rsid w:val="006B77C9"/>
    <w:rsid w:val="006C436C"/>
    <w:rsid w:val="006C47FE"/>
    <w:rsid w:val="006C4B39"/>
    <w:rsid w:val="006C547C"/>
    <w:rsid w:val="006D0825"/>
    <w:rsid w:val="006D34DC"/>
    <w:rsid w:val="006E4963"/>
    <w:rsid w:val="006E6434"/>
    <w:rsid w:val="006E7F6C"/>
    <w:rsid w:val="0070081C"/>
    <w:rsid w:val="007014B6"/>
    <w:rsid w:val="00702E61"/>
    <w:rsid w:val="00704A92"/>
    <w:rsid w:val="00705408"/>
    <w:rsid w:val="007123B4"/>
    <w:rsid w:val="00714179"/>
    <w:rsid w:val="0071582D"/>
    <w:rsid w:val="007232FF"/>
    <w:rsid w:val="00727AE2"/>
    <w:rsid w:val="00734565"/>
    <w:rsid w:val="00735DA7"/>
    <w:rsid w:val="007523BE"/>
    <w:rsid w:val="00756B49"/>
    <w:rsid w:val="00757C75"/>
    <w:rsid w:val="00770B73"/>
    <w:rsid w:val="00771297"/>
    <w:rsid w:val="00771F05"/>
    <w:rsid w:val="00771F21"/>
    <w:rsid w:val="00773879"/>
    <w:rsid w:val="00774862"/>
    <w:rsid w:val="00781725"/>
    <w:rsid w:val="00787F87"/>
    <w:rsid w:val="00796EEB"/>
    <w:rsid w:val="007A168D"/>
    <w:rsid w:val="007A1839"/>
    <w:rsid w:val="007A44AB"/>
    <w:rsid w:val="007A4527"/>
    <w:rsid w:val="007B148F"/>
    <w:rsid w:val="007B3678"/>
    <w:rsid w:val="007B6388"/>
    <w:rsid w:val="007C1767"/>
    <w:rsid w:val="007D1564"/>
    <w:rsid w:val="007D1724"/>
    <w:rsid w:val="007E2A1A"/>
    <w:rsid w:val="007E3936"/>
    <w:rsid w:val="007E60E7"/>
    <w:rsid w:val="007F6710"/>
    <w:rsid w:val="007F7587"/>
    <w:rsid w:val="00801AAF"/>
    <w:rsid w:val="008022D1"/>
    <w:rsid w:val="0080354C"/>
    <w:rsid w:val="00805D9E"/>
    <w:rsid w:val="00815B31"/>
    <w:rsid w:val="00820197"/>
    <w:rsid w:val="00824577"/>
    <w:rsid w:val="0082563F"/>
    <w:rsid w:val="008278C4"/>
    <w:rsid w:val="008322E4"/>
    <w:rsid w:val="00841A21"/>
    <w:rsid w:val="00847C15"/>
    <w:rsid w:val="00851DCF"/>
    <w:rsid w:val="0085276C"/>
    <w:rsid w:val="00854B6F"/>
    <w:rsid w:val="00855C05"/>
    <w:rsid w:val="00856023"/>
    <w:rsid w:val="008573F8"/>
    <w:rsid w:val="00865B9E"/>
    <w:rsid w:val="00865CA5"/>
    <w:rsid w:val="00867FEA"/>
    <w:rsid w:val="00873772"/>
    <w:rsid w:val="00874BC8"/>
    <w:rsid w:val="00880E1E"/>
    <w:rsid w:val="0088433F"/>
    <w:rsid w:val="00885AF0"/>
    <w:rsid w:val="00890E32"/>
    <w:rsid w:val="008918C5"/>
    <w:rsid w:val="00893375"/>
    <w:rsid w:val="00893730"/>
    <w:rsid w:val="00894CDC"/>
    <w:rsid w:val="008956C8"/>
    <w:rsid w:val="00897080"/>
    <w:rsid w:val="008B46E7"/>
    <w:rsid w:val="008B5EAD"/>
    <w:rsid w:val="008B639F"/>
    <w:rsid w:val="008B7D0C"/>
    <w:rsid w:val="008C1151"/>
    <w:rsid w:val="008C15C4"/>
    <w:rsid w:val="008D0D22"/>
    <w:rsid w:val="008D2BFE"/>
    <w:rsid w:val="008E1A82"/>
    <w:rsid w:val="008E75B7"/>
    <w:rsid w:val="008F0A61"/>
    <w:rsid w:val="009030D5"/>
    <w:rsid w:val="00904D3E"/>
    <w:rsid w:val="00905C21"/>
    <w:rsid w:val="00906DB6"/>
    <w:rsid w:val="00911D62"/>
    <w:rsid w:val="00915020"/>
    <w:rsid w:val="009157A0"/>
    <w:rsid w:val="00922A9A"/>
    <w:rsid w:val="00927A88"/>
    <w:rsid w:val="00931FAF"/>
    <w:rsid w:val="00933644"/>
    <w:rsid w:val="00935EA7"/>
    <w:rsid w:val="009378FB"/>
    <w:rsid w:val="009402D9"/>
    <w:rsid w:val="0094124E"/>
    <w:rsid w:val="009445FE"/>
    <w:rsid w:val="009453D2"/>
    <w:rsid w:val="009521DE"/>
    <w:rsid w:val="00954B79"/>
    <w:rsid w:val="0095655E"/>
    <w:rsid w:val="0096182B"/>
    <w:rsid w:val="0097012D"/>
    <w:rsid w:val="009750F5"/>
    <w:rsid w:val="00980A24"/>
    <w:rsid w:val="00990109"/>
    <w:rsid w:val="00992DC8"/>
    <w:rsid w:val="0099308A"/>
    <w:rsid w:val="009A08C5"/>
    <w:rsid w:val="009A3660"/>
    <w:rsid w:val="009A4B8E"/>
    <w:rsid w:val="009A6499"/>
    <w:rsid w:val="009B0954"/>
    <w:rsid w:val="009B1621"/>
    <w:rsid w:val="009B27CA"/>
    <w:rsid w:val="009B3ED3"/>
    <w:rsid w:val="009B4241"/>
    <w:rsid w:val="009B4570"/>
    <w:rsid w:val="009B4722"/>
    <w:rsid w:val="009B5365"/>
    <w:rsid w:val="009C0B00"/>
    <w:rsid w:val="009C23BA"/>
    <w:rsid w:val="009C35BC"/>
    <w:rsid w:val="009C4456"/>
    <w:rsid w:val="009D17C8"/>
    <w:rsid w:val="009D46ED"/>
    <w:rsid w:val="009D5D75"/>
    <w:rsid w:val="009D7E8D"/>
    <w:rsid w:val="009E230A"/>
    <w:rsid w:val="009E2ABE"/>
    <w:rsid w:val="009F3F04"/>
    <w:rsid w:val="009F54D0"/>
    <w:rsid w:val="009F5EA4"/>
    <w:rsid w:val="00A00C2D"/>
    <w:rsid w:val="00A02667"/>
    <w:rsid w:val="00A033C6"/>
    <w:rsid w:val="00A04F44"/>
    <w:rsid w:val="00A05933"/>
    <w:rsid w:val="00A11D5B"/>
    <w:rsid w:val="00A14F36"/>
    <w:rsid w:val="00A17611"/>
    <w:rsid w:val="00A21B5C"/>
    <w:rsid w:val="00A23871"/>
    <w:rsid w:val="00A25412"/>
    <w:rsid w:val="00A35E94"/>
    <w:rsid w:val="00A36714"/>
    <w:rsid w:val="00A40E55"/>
    <w:rsid w:val="00A44E56"/>
    <w:rsid w:val="00A461C5"/>
    <w:rsid w:val="00A5463B"/>
    <w:rsid w:val="00A555FC"/>
    <w:rsid w:val="00A5666E"/>
    <w:rsid w:val="00A651AE"/>
    <w:rsid w:val="00A81657"/>
    <w:rsid w:val="00A8413F"/>
    <w:rsid w:val="00A844E3"/>
    <w:rsid w:val="00A946D5"/>
    <w:rsid w:val="00A954E9"/>
    <w:rsid w:val="00A95A14"/>
    <w:rsid w:val="00AA0FA9"/>
    <w:rsid w:val="00AA185A"/>
    <w:rsid w:val="00AA271E"/>
    <w:rsid w:val="00AA3549"/>
    <w:rsid w:val="00AA4ED0"/>
    <w:rsid w:val="00AA73E5"/>
    <w:rsid w:val="00AB01FF"/>
    <w:rsid w:val="00AB05FE"/>
    <w:rsid w:val="00AB1819"/>
    <w:rsid w:val="00AB1DF5"/>
    <w:rsid w:val="00AB3ADD"/>
    <w:rsid w:val="00AC1C4C"/>
    <w:rsid w:val="00AC4807"/>
    <w:rsid w:val="00AC570E"/>
    <w:rsid w:val="00AD024F"/>
    <w:rsid w:val="00AD1EC3"/>
    <w:rsid w:val="00AD2DB8"/>
    <w:rsid w:val="00AD6389"/>
    <w:rsid w:val="00AE0D21"/>
    <w:rsid w:val="00AE6357"/>
    <w:rsid w:val="00B02CD1"/>
    <w:rsid w:val="00B04698"/>
    <w:rsid w:val="00B06EC8"/>
    <w:rsid w:val="00B10455"/>
    <w:rsid w:val="00B12432"/>
    <w:rsid w:val="00B15E97"/>
    <w:rsid w:val="00B15F06"/>
    <w:rsid w:val="00B241D6"/>
    <w:rsid w:val="00B318BF"/>
    <w:rsid w:val="00B32E45"/>
    <w:rsid w:val="00B45DFE"/>
    <w:rsid w:val="00B46B47"/>
    <w:rsid w:val="00B47759"/>
    <w:rsid w:val="00B52E68"/>
    <w:rsid w:val="00B5494B"/>
    <w:rsid w:val="00B624C2"/>
    <w:rsid w:val="00B62B85"/>
    <w:rsid w:val="00B639DB"/>
    <w:rsid w:val="00B63CC8"/>
    <w:rsid w:val="00B705DE"/>
    <w:rsid w:val="00B70DBA"/>
    <w:rsid w:val="00B83921"/>
    <w:rsid w:val="00B90C21"/>
    <w:rsid w:val="00B94C1B"/>
    <w:rsid w:val="00BA2F1F"/>
    <w:rsid w:val="00BA336A"/>
    <w:rsid w:val="00BA55DE"/>
    <w:rsid w:val="00BB36EB"/>
    <w:rsid w:val="00BB3DDD"/>
    <w:rsid w:val="00BC5BA3"/>
    <w:rsid w:val="00BC6258"/>
    <w:rsid w:val="00BC7CB0"/>
    <w:rsid w:val="00BD59E7"/>
    <w:rsid w:val="00BD7226"/>
    <w:rsid w:val="00BE15EF"/>
    <w:rsid w:val="00BE540B"/>
    <w:rsid w:val="00BE75D4"/>
    <w:rsid w:val="00BF1058"/>
    <w:rsid w:val="00BF2FCF"/>
    <w:rsid w:val="00BF4A6C"/>
    <w:rsid w:val="00BF4D1A"/>
    <w:rsid w:val="00C066EC"/>
    <w:rsid w:val="00C11750"/>
    <w:rsid w:val="00C13597"/>
    <w:rsid w:val="00C165C7"/>
    <w:rsid w:val="00C24DD5"/>
    <w:rsid w:val="00C25F3D"/>
    <w:rsid w:val="00C271F5"/>
    <w:rsid w:val="00C27C4B"/>
    <w:rsid w:val="00C31E43"/>
    <w:rsid w:val="00C366D6"/>
    <w:rsid w:val="00C409EE"/>
    <w:rsid w:val="00C53FE0"/>
    <w:rsid w:val="00C546E1"/>
    <w:rsid w:val="00C575C6"/>
    <w:rsid w:val="00C577A6"/>
    <w:rsid w:val="00C6258A"/>
    <w:rsid w:val="00C62632"/>
    <w:rsid w:val="00C66440"/>
    <w:rsid w:val="00C66F88"/>
    <w:rsid w:val="00C675FB"/>
    <w:rsid w:val="00C705D5"/>
    <w:rsid w:val="00C7447A"/>
    <w:rsid w:val="00C75BB6"/>
    <w:rsid w:val="00C8096C"/>
    <w:rsid w:val="00C82A03"/>
    <w:rsid w:val="00C85CB7"/>
    <w:rsid w:val="00C87113"/>
    <w:rsid w:val="00C91B6F"/>
    <w:rsid w:val="00C93ABE"/>
    <w:rsid w:val="00C96D8F"/>
    <w:rsid w:val="00CA10BC"/>
    <w:rsid w:val="00CA5ADF"/>
    <w:rsid w:val="00CA705D"/>
    <w:rsid w:val="00CA7519"/>
    <w:rsid w:val="00CA7EC0"/>
    <w:rsid w:val="00CB1AC6"/>
    <w:rsid w:val="00CB38AC"/>
    <w:rsid w:val="00CB6D93"/>
    <w:rsid w:val="00CB74A1"/>
    <w:rsid w:val="00CC039E"/>
    <w:rsid w:val="00CC39BC"/>
    <w:rsid w:val="00CD0203"/>
    <w:rsid w:val="00CD2A93"/>
    <w:rsid w:val="00CD491F"/>
    <w:rsid w:val="00CD67E3"/>
    <w:rsid w:val="00CE3E5B"/>
    <w:rsid w:val="00CE7517"/>
    <w:rsid w:val="00CF2E5A"/>
    <w:rsid w:val="00CF33D0"/>
    <w:rsid w:val="00D0103F"/>
    <w:rsid w:val="00D130EA"/>
    <w:rsid w:val="00D134B6"/>
    <w:rsid w:val="00D1579D"/>
    <w:rsid w:val="00D200FE"/>
    <w:rsid w:val="00D21476"/>
    <w:rsid w:val="00D216B7"/>
    <w:rsid w:val="00D24C1F"/>
    <w:rsid w:val="00D35B78"/>
    <w:rsid w:val="00D40689"/>
    <w:rsid w:val="00D44CF6"/>
    <w:rsid w:val="00D53E83"/>
    <w:rsid w:val="00D55473"/>
    <w:rsid w:val="00D55E3C"/>
    <w:rsid w:val="00D57F00"/>
    <w:rsid w:val="00D602CF"/>
    <w:rsid w:val="00D60881"/>
    <w:rsid w:val="00D64147"/>
    <w:rsid w:val="00D64373"/>
    <w:rsid w:val="00D65BF7"/>
    <w:rsid w:val="00D67853"/>
    <w:rsid w:val="00D71A1D"/>
    <w:rsid w:val="00D7353A"/>
    <w:rsid w:val="00D76011"/>
    <w:rsid w:val="00D80E5C"/>
    <w:rsid w:val="00D97EF8"/>
    <w:rsid w:val="00DA01CA"/>
    <w:rsid w:val="00DA2219"/>
    <w:rsid w:val="00DA354B"/>
    <w:rsid w:val="00DA3DBF"/>
    <w:rsid w:val="00DA670F"/>
    <w:rsid w:val="00DB11A0"/>
    <w:rsid w:val="00DB242B"/>
    <w:rsid w:val="00DB29AE"/>
    <w:rsid w:val="00DB3A32"/>
    <w:rsid w:val="00DB3CBB"/>
    <w:rsid w:val="00DB4540"/>
    <w:rsid w:val="00DB5169"/>
    <w:rsid w:val="00DC2074"/>
    <w:rsid w:val="00DC3BED"/>
    <w:rsid w:val="00DC4B1E"/>
    <w:rsid w:val="00DC5D10"/>
    <w:rsid w:val="00DD59AF"/>
    <w:rsid w:val="00DE16B3"/>
    <w:rsid w:val="00DE4E42"/>
    <w:rsid w:val="00DE7674"/>
    <w:rsid w:val="00DF0E44"/>
    <w:rsid w:val="00DF20CB"/>
    <w:rsid w:val="00DF22F7"/>
    <w:rsid w:val="00DF2B6F"/>
    <w:rsid w:val="00E02203"/>
    <w:rsid w:val="00E03316"/>
    <w:rsid w:val="00E10980"/>
    <w:rsid w:val="00E12019"/>
    <w:rsid w:val="00E14938"/>
    <w:rsid w:val="00E1594D"/>
    <w:rsid w:val="00E1633E"/>
    <w:rsid w:val="00E207E1"/>
    <w:rsid w:val="00E25021"/>
    <w:rsid w:val="00E31BBC"/>
    <w:rsid w:val="00E3734D"/>
    <w:rsid w:val="00E44807"/>
    <w:rsid w:val="00E46AE1"/>
    <w:rsid w:val="00E56E54"/>
    <w:rsid w:val="00E60AE0"/>
    <w:rsid w:val="00E6144B"/>
    <w:rsid w:val="00E63F4E"/>
    <w:rsid w:val="00E64E96"/>
    <w:rsid w:val="00E65A7F"/>
    <w:rsid w:val="00E67644"/>
    <w:rsid w:val="00E676AE"/>
    <w:rsid w:val="00E7070E"/>
    <w:rsid w:val="00E826C8"/>
    <w:rsid w:val="00E84E65"/>
    <w:rsid w:val="00E86721"/>
    <w:rsid w:val="00E930D0"/>
    <w:rsid w:val="00EA313A"/>
    <w:rsid w:val="00EA4402"/>
    <w:rsid w:val="00EA44BD"/>
    <w:rsid w:val="00EA4737"/>
    <w:rsid w:val="00EA51FA"/>
    <w:rsid w:val="00EA5ED3"/>
    <w:rsid w:val="00EB24ED"/>
    <w:rsid w:val="00EB58CD"/>
    <w:rsid w:val="00EB5DC4"/>
    <w:rsid w:val="00EC1DEC"/>
    <w:rsid w:val="00EC35E8"/>
    <w:rsid w:val="00EC6245"/>
    <w:rsid w:val="00ED7F42"/>
    <w:rsid w:val="00EE0DBF"/>
    <w:rsid w:val="00EE1B51"/>
    <w:rsid w:val="00EE3534"/>
    <w:rsid w:val="00EE5762"/>
    <w:rsid w:val="00EF0DE0"/>
    <w:rsid w:val="00EF77D5"/>
    <w:rsid w:val="00F0225D"/>
    <w:rsid w:val="00F1182E"/>
    <w:rsid w:val="00F133DA"/>
    <w:rsid w:val="00F16BC8"/>
    <w:rsid w:val="00F23EA1"/>
    <w:rsid w:val="00F2437D"/>
    <w:rsid w:val="00F24CBB"/>
    <w:rsid w:val="00F31D07"/>
    <w:rsid w:val="00F339FC"/>
    <w:rsid w:val="00F33D6E"/>
    <w:rsid w:val="00F37B25"/>
    <w:rsid w:val="00F37DC0"/>
    <w:rsid w:val="00F4009E"/>
    <w:rsid w:val="00F4131B"/>
    <w:rsid w:val="00F44612"/>
    <w:rsid w:val="00F5421A"/>
    <w:rsid w:val="00F548B9"/>
    <w:rsid w:val="00F57374"/>
    <w:rsid w:val="00F61B20"/>
    <w:rsid w:val="00F62433"/>
    <w:rsid w:val="00F660EF"/>
    <w:rsid w:val="00F73109"/>
    <w:rsid w:val="00F73477"/>
    <w:rsid w:val="00F755B5"/>
    <w:rsid w:val="00F75DE9"/>
    <w:rsid w:val="00F815C7"/>
    <w:rsid w:val="00F82CE0"/>
    <w:rsid w:val="00F856C6"/>
    <w:rsid w:val="00F90363"/>
    <w:rsid w:val="00F92A2F"/>
    <w:rsid w:val="00F93A2B"/>
    <w:rsid w:val="00FA2D3C"/>
    <w:rsid w:val="00FA2E57"/>
    <w:rsid w:val="00FB4C56"/>
    <w:rsid w:val="00FC12DB"/>
    <w:rsid w:val="00FC6525"/>
    <w:rsid w:val="00FC6BB7"/>
    <w:rsid w:val="00FD3D15"/>
    <w:rsid w:val="00FD7E07"/>
    <w:rsid w:val="00FE26CB"/>
    <w:rsid w:val="00FE6A27"/>
    <w:rsid w:val="00FF0649"/>
    <w:rsid w:val="00FF0E5D"/>
    <w:rsid w:val="00FF3D51"/>
    <w:rsid w:val="00FF5B61"/>
    <w:rsid w:val="00FF7FD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E5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09E"/>
    <w:rPr>
      <w:color w:val="000000"/>
      <w:u w:val="single"/>
    </w:rPr>
  </w:style>
  <w:style w:type="paragraph" w:styleId="BodyTextIndent3">
    <w:name w:val="Body Text Indent 3"/>
    <w:basedOn w:val="Normal"/>
    <w:link w:val="BodyTextIndent3Char"/>
    <w:uiPriority w:val="99"/>
    <w:semiHidden/>
    <w:unhideWhenUsed/>
    <w:rsid w:val="00F4009E"/>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semiHidden/>
    <w:rsid w:val="00F4009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4009E"/>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semiHidden/>
    <w:rsid w:val="00F4009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A44AB"/>
    <w:pPr>
      <w:spacing w:after="120" w:line="480" w:lineRule="auto"/>
    </w:pPr>
  </w:style>
  <w:style w:type="character" w:customStyle="1" w:styleId="BodyText2Char">
    <w:name w:val="Body Text 2 Char"/>
    <w:basedOn w:val="DefaultParagraphFont"/>
    <w:link w:val="BodyText2"/>
    <w:uiPriority w:val="99"/>
    <w:semiHidden/>
    <w:rsid w:val="007A44AB"/>
  </w:style>
  <w:style w:type="paragraph" w:styleId="BodyTextIndent">
    <w:name w:val="Body Text Indent"/>
    <w:basedOn w:val="Normal"/>
    <w:link w:val="BodyTextIndentChar"/>
    <w:uiPriority w:val="99"/>
    <w:semiHidden/>
    <w:unhideWhenUsed/>
    <w:rsid w:val="007A44AB"/>
    <w:pPr>
      <w:spacing w:after="120"/>
      <w:ind w:left="283"/>
    </w:pPr>
  </w:style>
  <w:style w:type="character" w:customStyle="1" w:styleId="BodyTextIndentChar">
    <w:name w:val="Body Text Indent Char"/>
    <w:basedOn w:val="DefaultParagraphFont"/>
    <w:link w:val="BodyTextIndent"/>
    <w:uiPriority w:val="99"/>
    <w:semiHidden/>
    <w:rsid w:val="007A44AB"/>
  </w:style>
  <w:style w:type="character" w:styleId="Strong">
    <w:name w:val="Strong"/>
    <w:basedOn w:val="DefaultParagraphFont"/>
    <w:uiPriority w:val="22"/>
    <w:qFormat/>
    <w:rsid w:val="007A44AB"/>
    <w:rPr>
      <w:b/>
      <w:bCs/>
    </w:rPr>
  </w:style>
  <w:style w:type="paragraph" w:styleId="BodyTextIndent2">
    <w:name w:val="Body Text Indent 2"/>
    <w:basedOn w:val="Normal"/>
    <w:link w:val="BodyTextIndent2Char"/>
    <w:uiPriority w:val="99"/>
    <w:semiHidden/>
    <w:unhideWhenUsed/>
    <w:rsid w:val="00CC39BC"/>
    <w:pPr>
      <w:spacing w:after="120" w:line="480" w:lineRule="auto"/>
      <w:ind w:left="283"/>
    </w:pPr>
  </w:style>
  <w:style w:type="character" w:customStyle="1" w:styleId="BodyTextIndent2Char">
    <w:name w:val="Body Text Indent 2 Char"/>
    <w:basedOn w:val="DefaultParagraphFont"/>
    <w:link w:val="BodyTextIndent2"/>
    <w:uiPriority w:val="99"/>
    <w:semiHidden/>
    <w:rsid w:val="00CC39BC"/>
  </w:style>
  <w:style w:type="paragraph" w:styleId="ListParagraph">
    <w:name w:val="List Paragraph"/>
    <w:basedOn w:val="Normal"/>
    <w:uiPriority w:val="34"/>
    <w:qFormat/>
    <w:rsid w:val="0035722A"/>
    <w:pPr>
      <w:ind w:left="720"/>
      <w:contextualSpacing/>
    </w:pPr>
  </w:style>
  <w:style w:type="paragraph" w:styleId="Header">
    <w:name w:val="header"/>
    <w:basedOn w:val="Normal"/>
    <w:link w:val="HeaderChar"/>
    <w:uiPriority w:val="99"/>
    <w:semiHidden/>
    <w:unhideWhenUsed/>
    <w:rsid w:val="004E11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1AF"/>
  </w:style>
  <w:style w:type="paragraph" w:styleId="Footer">
    <w:name w:val="footer"/>
    <w:basedOn w:val="Normal"/>
    <w:link w:val="FooterChar"/>
    <w:uiPriority w:val="99"/>
    <w:unhideWhenUsed/>
    <w:rsid w:val="004E1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1AF"/>
  </w:style>
  <w:style w:type="paragraph" w:styleId="NormalWeb">
    <w:name w:val="Normal (Web)"/>
    <w:basedOn w:val="Normal"/>
    <w:uiPriority w:val="99"/>
    <w:unhideWhenUsed/>
    <w:rsid w:val="00805D9E"/>
    <w:pPr>
      <w:spacing w:before="100" w:beforeAutospacing="1" w:after="100" w:afterAutospacing="1" w:line="240" w:lineRule="auto"/>
    </w:pPr>
    <w:rPr>
      <w:rFonts w:ascii="Times New Roman" w:eastAsia="Times New Roman" w:hAnsi="Times New Roman"/>
      <w:sz w:val="24"/>
      <w:szCs w:val="24"/>
    </w:rPr>
  </w:style>
  <w:style w:type="paragraph" w:customStyle="1" w:styleId="statymopavad">
    <w:name w:val="statymopavad"/>
    <w:basedOn w:val="Normal"/>
    <w:rsid w:val="0009251A"/>
    <w:pPr>
      <w:spacing w:before="100" w:beforeAutospacing="1" w:after="100" w:afterAutospacing="1" w:line="240" w:lineRule="auto"/>
    </w:pPr>
    <w:rPr>
      <w:rFonts w:ascii="Times New Roman" w:eastAsia="Times New Roman" w:hAnsi="Times New Roman"/>
      <w:sz w:val="24"/>
      <w:szCs w:val="24"/>
      <w:lang w:val="lt-LT" w:eastAsia="lt-LT"/>
    </w:rPr>
  </w:style>
  <w:style w:type="paragraph" w:styleId="BalloonText">
    <w:name w:val="Balloon Text"/>
    <w:basedOn w:val="Normal"/>
    <w:link w:val="BalloonTextChar"/>
    <w:uiPriority w:val="99"/>
    <w:semiHidden/>
    <w:unhideWhenUsed/>
    <w:rsid w:val="000F2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B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9355447">
      <w:bodyDiv w:val="1"/>
      <w:marLeft w:val="0"/>
      <w:marRight w:val="0"/>
      <w:marTop w:val="0"/>
      <w:marBottom w:val="0"/>
      <w:divBdr>
        <w:top w:val="none" w:sz="0" w:space="0" w:color="auto"/>
        <w:left w:val="none" w:sz="0" w:space="0" w:color="auto"/>
        <w:bottom w:val="none" w:sz="0" w:space="0" w:color="auto"/>
        <w:right w:val="none" w:sz="0" w:space="0" w:color="auto"/>
      </w:divBdr>
    </w:div>
    <w:div w:id="136656029">
      <w:bodyDiv w:val="1"/>
      <w:marLeft w:val="251"/>
      <w:marRight w:val="251"/>
      <w:marTop w:val="0"/>
      <w:marBottom w:val="0"/>
      <w:divBdr>
        <w:top w:val="none" w:sz="0" w:space="0" w:color="auto"/>
        <w:left w:val="none" w:sz="0" w:space="0" w:color="auto"/>
        <w:bottom w:val="none" w:sz="0" w:space="0" w:color="auto"/>
        <w:right w:val="none" w:sz="0" w:space="0" w:color="auto"/>
      </w:divBdr>
      <w:divsChild>
        <w:div w:id="798496923">
          <w:marLeft w:val="0"/>
          <w:marRight w:val="0"/>
          <w:marTop w:val="0"/>
          <w:marBottom w:val="0"/>
          <w:divBdr>
            <w:top w:val="none" w:sz="0" w:space="0" w:color="auto"/>
            <w:left w:val="none" w:sz="0" w:space="0" w:color="auto"/>
            <w:bottom w:val="none" w:sz="0" w:space="0" w:color="auto"/>
            <w:right w:val="none" w:sz="0" w:space="0" w:color="auto"/>
          </w:divBdr>
        </w:div>
      </w:divsChild>
    </w:div>
    <w:div w:id="165554499">
      <w:bodyDiv w:val="1"/>
      <w:marLeft w:val="251"/>
      <w:marRight w:val="251"/>
      <w:marTop w:val="0"/>
      <w:marBottom w:val="0"/>
      <w:divBdr>
        <w:top w:val="none" w:sz="0" w:space="0" w:color="auto"/>
        <w:left w:val="none" w:sz="0" w:space="0" w:color="auto"/>
        <w:bottom w:val="none" w:sz="0" w:space="0" w:color="auto"/>
        <w:right w:val="none" w:sz="0" w:space="0" w:color="auto"/>
      </w:divBdr>
      <w:divsChild>
        <w:div w:id="1544097173">
          <w:marLeft w:val="0"/>
          <w:marRight w:val="0"/>
          <w:marTop w:val="0"/>
          <w:marBottom w:val="0"/>
          <w:divBdr>
            <w:top w:val="none" w:sz="0" w:space="0" w:color="auto"/>
            <w:left w:val="none" w:sz="0" w:space="0" w:color="auto"/>
            <w:bottom w:val="none" w:sz="0" w:space="0" w:color="auto"/>
            <w:right w:val="none" w:sz="0" w:space="0" w:color="auto"/>
          </w:divBdr>
        </w:div>
      </w:divsChild>
    </w:div>
    <w:div w:id="455491301">
      <w:bodyDiv w:val="1"/>
      <w:marLeft w:val="251"/>
      <w:marRight w:val="251"/>
      <w:marTop w:val="0"/>
      <w:marBottom w:val="0"/>
      <w:divBdr>
        <w:top w:val="none" w:sz="0" w:space="0" w:color="auto"/>
        <w:left w:val="none" w:sz="0" w:space="0" w:color="auto"/>
        <w:bottom w:val="none" w:sz="0" w:space="0" w:color="auto"/>
        <w:right w:val="none" w:sz="0" w:space="0" w:color="auto"/>
      </w:divBdr>
      <w:divsChild>
        <w:div w:id="144124268">
          <w:marLeft w:val="0"/>
          <w:marRight w:val="0"/>
          <w:marTop w:val="0"/>
          <w:marBottom w:val="0"/>
          <w:divBdr>
            <w:top w:val="none" w:sz="0" w:space="0" w:color="auto"/>
            <w:left w:val="none" w:sz="0" w:space="0" w:color="auto"/>
            <w:bottom w:val="none" w:sz="0" w:space="0" w:color="auto"/>
            <w:right w:val="none" w:sz="0" w:space="0" w:color="auto"/>
          </w:divBdr>
        </w:div>
      </w:divsChild>
    </w:div>
    <w:div w:id="697967895">
      <w:bodyDiv w:val="1"/>
      <w:marLeft w:val="251"/>
      <w:marRight w:val="251"/>
      <w:marTop w:val="0"/>
      <w:marBottom w:val="0"/>
      <w:divBdr>
        <w:top w:val="none" w:sz="0" w:space="0" w:color="auto"/>
        <w:left w:val="none" w:sz="0" w:space="0" w:color="auto"/>
        <w:bottom w:val="none" w:sz="0" w:space="0" w:color="auto"/>
        <w:right w:val="none" w:sz="0" w:space="0" w:color="auto"/>
      </w:divBdr>
      <w:divsChild>
        <w:div w:id="827014406">
          <w:marLeft w:val="0"/>
          <w:marRight w:val="0"/>
          <w:marTop w:val="0"/>
          <w:marBottom w:val="0"/>
          <w:divBdr>
            <w:top w:val="none" w:sz="0" w:space="0" w:color="auto"/>
            <w:left w:val="none" w:sz="0" w:space="0" w:color="auto"/>
            <w:bottom w:val="none" w:sz="0" w:space="0" w:color="auto"/>
            <w:right w:val="none" w:sz="0" w:space="0" w:color="auto"/>
          </w:divBdr>
        </w:div>
      </w:divsChild>
    </w:div>
    <w:div w:id="736974407">
      <w:bodyDiv w:val="1"/>
      <w:marLeft w:val="251"/>
      <w:marRight w:val="251"/>
      <w:marTop w:val="0"/>
      <w:marBottom w:val="0"/>
      <w:divBdr>
        <w:top w:val="none" w:sz="0" w:space="0" w:color="auto"/>
        <w:left w:val="none" w:sz="0" w:space="0" w:color="auto"/>
        <w:bottom w:val="none" w:sz="0" w:space="0" w:color="auto"/>
        <w:right w:val="none" w:sz="0" w:space="0" w:color="auto"/>
      </w:divBdr>
      <w:divsChild>
        <w:div w:id="1208032753">
          <w:marLeft w:val="0"/>
          <w:marRight w:val="0"/>
          <w:marTop w:val="0"/>
          <w:marBottom w:val="0"/>
          <w:divBdr>
            <w:top w:val="none" w:sz="0" w:space="0" w:color="auto"/>
            <w:left w:val="none" w:sz="0" w:space="0" w:color="auto"/>
            <w:bottom w:val="none" w:sz="0" w:space="0" w:color="auto"/>
            <w:right w:val="none" w:sz="0" w:space="0" w:color="auto"/>
          </w:divBdr>
        </w:div>
      </w:divsChild>
    </w:div>
    <w:div w:id="858281450">
      <w:bodyDiv w:val="1"/>
      <w:marLeft w:val="0"/>
      <w:marRight w:val="0"/>
      <w:marTop w:val="0"/>
      <w:marBottom w:val="0"/>
      <w:divBdr>
        <w:top w:val="none" w:sz="0" w:space="0" w:color="auto"/>
        <w:left w:val="none" w:sz="0" w:space="0" w:color="auto"/>
        <w:bottom w:val="none" w:sz="0" w:space="0" w:color="auto"/>
        <w:right w:val="none" w:sz="0" w:space="0" w:color="auto"/>
      </w:divBdr>
      <w:divsChild>
        <w:div w:id="984356860">
          <w:marLeft w:val="0"/>
          <w:marRight w:val="0"/>
          <w:marTop w:val="0"/>
          <w:marBottom w:val="0"/>
          <w:divBdr>
            <w:top w:val="none" w:sz="0" w:space="0" w:color="auto"/>
            <w:left w:val="none" w:sz="0" w:space="0" w:color="auto"/>
            <w:bottom w:val="none" w:sz="0" w:space="0" w:color="auto"/>
            <w:right w:val="none" w:sz="0" w:space="0" w:color="auto"/>
          </w:divBdr>
          <w:divsChild>
            <w:div w:id="1099761263">
              <w:marLeft w:val="0"/>
              <w:marRight w:val="0"/>
              <w:marTop w:val="0"/>
              <w:marBottom w:val="0"/>
              <w:divBdr>
                <w:top w:val="none" w:sz="0" w:space="0" w:color="auto"/>
                <w:left w:val="none" w:sz="0" w:space="0" w:color="auto"/>
                <w:bottom w:val="none" w:sz="0" w:space="0" w:color="auto"/>
                <w:right w:val="none" w:sz="0" w:space="0" w:color="auto"/>
              </w:divBdr>
            </w:div>
            <w:div w:id="1214390499">
              <w:marLeft w:val="0"/>
              <w:marRight w:val="0"/>
              <w:marTop w:val="0"/>
              <w:marBottom w:val="0"/>
              <w:divBdr>
                <w:top w:val="none" w:sz="0" w:space="0" w:color="auto"/>
                <w:left w:val="none" w:sz="0" w:space="0" w:color="auto"/>
                <w:bottom w:val="none" w:sz="0" w:space="0" w:color="auto"/>
                <w:right w:val="none" w:sz="0" w:space="0" w:color="auto"/>
              </w:divBdr>
            </w:div>
          </w:divsChild>
        </w:div>
        <w:div w:id="1582175463">
          <w:marLeft w:val="0"/>
          <w:marRight w:val="0"/>
          <w:marTop w:val="0"/>
          <w:marBottom w:val="0"/>
          <w:divBdr>
            <w:top w:val="none" w:sz="0" w:space="0" w:color="auto"/>
            <w:left w:val="none" w:sz="0" w:space="0" w:color="auto"/>
            <w:bottom w:val="none" w:sz="0" w:space="0" w:color="auto"/>
            <w:right w:val="none" w:sz="0" w:space="0" w:color="auto"/>
          </w:divBdr>
        </w:div>
        <w:div w:id="1732270672">
          <w:marLeft w:val="0"/>
          <w:marRight w:val="0"/>
          <w:marTop w:val="0"/>
          <w:marBottom w:val="0"/>
          <w:divBdr>
            <w:top w:val="none" w:sz="0" w:space="0" w:color="auto"/>
            <w:left w:val="none" w:sz="0" w:space="0" w:color="auto"/>
            <w:bottom w:val="none" w:sz="0" w:space="0" w:color="auto"/>
            <w:right w:val="none" w:sz="0" w:space="0" w:color="auto"/>
          </w:divBdr>
        </w:div>
      </w:divsChild>
    </w:div>
    <w:div w:id="1045568057">
      <w:bodyDiv w:val="1"/>
      <w:marLeft w:val="251"/>
      <w:marRight w:val="251"/>
      <w:marTop w:val="0"/>
      <w:marBottom w:val="0"/>
      <w:divBdr>
        <w:top w:val="none" w:sz="0" w:space="0" w:color="auto"/>
        <w:left w:val="none" w:sz="0" w:space="0" w:color="auto"/>
        <w:bottom w:val="none" w:sz="0" w:space="0" w:color="auto"/>
        <w:right w:val="none" w:sz="0" w:space="0" w:color="auto"/>
      </w:divBdr>
      <w:divsChild>
        <w:div w:id="1911840499">
          <w:marLeft w:val="0"/>
          <w:marRight w:val="0"/>
          <w:marTop w:val="0"/>
          <w:marBottom w:val="0"/>
          <w:divBdr>
            <w:top w:val="none" w:sz="0" w:space="0" w:color="auto"/>
            <w:left w:val="none" w:sz="0" w:space="0" w:color="auto"/>
            <w:bottom w:val="none" w:sz="0" w:space="0" w:color="auto"/>
            <w:right w:val="none" w:sz="0" w:space="0" w:color="auto"/>
          </w:divBdr>
        </w:div>
      </w:divsChild>
    </w:div>
    <w:div w:id="1178731916">
      <w:bodyDiv w:val="1"/>
      <w:marLeft w:val="251"/>
      <w:marRight w:val="251"/>
      <w:marTop w:val="0"/>
      <w:marBottom w:val="0"/>
      <w:divBdr>
        <w:top w:val="none" w:sz="0" w:space="0" w:color="auto"/>
        <w:left w:val="none" w:sz="0" w:space="0" w:color="auto"/>
        <w:bottom w:val="none" w:sz="0" w:space="0" w:color="auto"/>
        <w:right w:val="none" w:sz="0" w:space="0" w:color="auto"/>
      </w:divBdr>
      <w:divsChild>
        <w:div w:id="314184504">
          <w:marLeft w:val="0"/>
          <w:marRight w:val="0"/>
          <w:marTop w:val="0"/>
          <w:marBottom w:val="0"/>
          <w:divBdr>
            <w:top w:val="none" w:sz="0" w:space="0" w:color="auto"/>
            <w:left w:val="none" w:sz="0" w:space="0" w:color="auto"/>
            <w:bottom w:val="none" w:sz="0" w:space="0" w:color="auto"/>
            <w:right w:val="none" w:sz="0" w:space="0" w:color="auto"/>
          </w:divBdr>
        </w:div>
      </w:divsChild>
    </w:div>
    <w:div w:id="1482187444">
      <w:bodyDiv w:val="1"/>
      <w:marLeft w:val="251"/>
      <w:marRight w:val="251"/>
      <w:marTop w:val="0"/>
      <w:marBottom w:val="0"/>
      <w:divBdr>
        <w:top w:val="none" w:sz="0" w:space="0" w:color="auto"/>
        <w:left w:val="none" w:sz="0" w:space="0" w:color="auto"/>
        <w:bottom w:val="none" w:sz="0" w:space="0" w:color="auto"/>
        <w:right w:val="none" w:sz="0" w:space="0" w:color="auto"/>
      </w:divBdr>
      <w:divsChild>
        <w:div w:id="1798597869">
          <w:marLeft w:val="0"/>
          <w:marRight w:val="0"/>
          <w:marTop w:val="0"/>
          <w:marBottom w:val="0"/>
          <w:divBdr>
            <w:top w:val="none" w:sz="0" w:space="0" w:color="auto"/>
            <w:left w:val="none" w:sz="0" w:space="0" w:color="auto"/>
            <w:bottom w:val="none" w:sz="0" w:space="0" w:color="auto"/>
            <w:right w:val="none" w:sz="0" w:space="0" w:color="auto"/>
          </w:divBdr>
        </w:div>
      </w:divsChild>
    </w:div>
    <w:div w:id="1903909955">
      <w:bodyDiv w:val="1"/>
      <w:marLeft w:val="251"/>
      <w:marRight w:val="251"/>
      <w:marTop w:val="0"/>
      <w:marBottom w:val="0"/>
      <w:divBdr>
        <w:top w:val="none" w:sz="0" w:space="0" w:color="auto"/>
        <w:left w:val="none" w:sz="0" w:space="0" w:color="auto"/>
        <w:bottom w:val="none" w:sz="0" w:space="0" w:color="auto"/>
        <w:right w:val="none" w:sz="0" w:space="0" w:color="auto"/>
      </w:divBdr>
      <w:divsChild>
        <w:div w:id="67812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ZV\DG\ZVvDG-1\2013-06-03%20ZV%20-%20D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B744E-533C-415E-BD05-2D9717DE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2013-06-03 ZV - DG</Template>
  <TotalTime>42</TotalTime>
  <Pages>1</Pages>
  <Words>1222</Words>
  <Characters>698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Zigmas</dc:creator>
  <cp:lastModifiedBy>Zigmas</cp:lastModifiedBy>
  <cp:revision>7</cp:revision>
  <cp:lastPrinted>2015-03-22T09:25:00Z</cp:lastPrinted>
  <dcterms:created xsi:type="dcterms:W3CDTF">2015-05-13T17:13:00Z</dcterms:created>
  <dcterms:modified xsi:type="dcterms:W3CDTF">2015-05-13T18:41:00Z</dcterms:modified>
</cp:coreProperties>
</file>